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1947BA">
      <w:pPr>
        <w:pStyle w:val="Heading5"/>
        <w:spacing w:before="0" w:after="0"/>
        <w:jc w:val="center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 xml:space="preserve">încadrată ca întreprindere mare, declarăm pe proprie răspundere că activităţile şi cheltuielile propuse spre finanţare în </w:t>
      </w:r>
      <w:r w:rsidR="001947BA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bookmarkStart w:id="2" w:name="_GoBack"/>
      <w:bookmarkEnd w:id="2"/>
      <w:r w:rsidR="00AE7D2B" w:rsidRPr="00AE7D2B">
        <w:rPr>
          <w:rFonts w:asciiTheme="minorHAnsi" w:hAnsiTheme="minorHAnsi"/>
        </w:rPr>
        <w:t>Suport pentru sisteme spațiale militare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47BA"/>
    <w:rsid w:val="001965A8"/>
    <w:rsid w:val="001F6A41"/>
    <w:rsid w:val="00220EA0"/>
    <w:rsid w:val="0063585A"/>
    <w:rsid w:val="00691872"/>
    <w:rsid w:val="00844B69"/>
    <w:rsid w:val="00AE7D2B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6</cp:revision>
  <dcterms:created xsi:type="dcterms:W3CDTF">2021-06-25T10:07:00Z</dcterms:created>
  <dcterms:modified xsi:type="dcterms:W3CDTF">2021-07-27T09:30:00Z</dcterms:modified>
</cp:coreProperties>
</file>