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1947BA">
      <w:pPr>
        <w:pStyle w:val="Heading5"/>
        <w:spacing w:before="0" w:after="0"/>
        <w:jc w:val="center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 xml:space="preserve">încadrată ca întreprindere mare, declarăm pe proprie răspundere că activităţile şi cheltuielile propuse spre finanţare în </w:t>
      </w:r>
      <w:r w:rsidR="001947BA">
        <w:rPr>
          <w:rFonts w:asciiTheme="minorHAnsi" w:hAnsiTheme="minorHAnsi"/>
        </w:rPr>
        <w:t xml:space="preserve">cadrul proiectului cu titlul:  </w:t>
      </w:r>
      <w:bookmarkStart w:id="2" w:name="_GoBack"/>
      <w:bookmarkEnd w:id="2"/>
      <w:r w:rsidRPr="00B505F5">
        <w:rPr>
          <w:rFonts w:asciiTheme="minorHAnsi" w:hAnsiTheme="minorHAnsi"/>
        </w:rPr>
        <w:t>“</w:t>
      </w:r>
      <w:r w:rsidR="00844B69" w:rsidRPr="00844B69">
        <w:t xml:space="preserve"> </w:t>
      </w:r>
      <w:r w:rsidR="001947BA" w:rsidRPr="001947BA">
        <w:rPr>
          <w:rFonts w:asciiTheme="minorHAnsi" w:hAnsiTheme="minorHAnsi"/>
        </w:rPr>
        <w:t>Dezvoltarea unui sistem aerian distribuit “data fusion” – “remote sensing” pentru identificare și caracterizare situații de urgență în zone nesegregate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47BA"/>
    <w:rsid w:val="001965A8"/>
    <w:rsid w:val="001F6A41"/>
    <w:rsid w:val="00220EA0"/>
    <w:rsid w:val="0063585A"/>
    <w:rsid w:val="00691872"/>
    <w:rsid w:val="00844B69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Alina Maria Molagic</cp:lastModifiedBy>
  <cp:revision>5</cp:revision>
  <dcterms:created xsi:type="dcterms:W3CDTF">2021-06-25T10:07:00Z</dcterms:created>
  <dcterms:modified xsi:type="dcterms:W3CDTF">2021-07-27T08:17:00Z</dcterms:modified>
</cp:coreProperties>
</file>