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Pr="001A74AE">
        <w:rPr>
          <w:sz w:val="22"/>
          <w:szCs w:val="22"/>
          <w:lang w:val="it-IT"/>
        </w:rPr>
        <w:t xml:space="preserve">“Calitate </w:t>
      </w:r>
      <w:r>
        <w:rPr>
          <w:sz w:val="22"/>
          <w:szCs w:val="22"/>
          <w:lang w:val="it-IT"/>
        </w:rPr>
        <w:t>î</w:t>
      </w:r>
      <w:r w:rsidRPr="001A74AE">
        <w:rPr>
          <w:sz w:val="22"/>
          <w:szCs w:val="22"/>
          <w:lang w:val="it-IT"/>
        </w:rPr>
        <w:t xml:space="preserve">n </w:t>
      </w:r>
      <w:r>
        <w:rPr>
          <w:sz w:val="22"/>
          <w:szCs w:val="22"/>
          <w:lang w:val="it-IT"/>
        </w:rPr>
        <w:t>î</w:t>
      </w:r>
      <w:r w:rsidRPr="001A74AE">
        <w:rPr>
          <w:sz w:val="22"/>
          <w:szCs w:val="22"/>
          <w:lang w:val="it-IT"/>
        </w:rPr>
        <w:t>nv</w:t>
      </w:r>
      <w:r>
        <w:rPr>
          <w:sz w:val="22"/>
          <w:szCs w:val="22"/>
          <w:lang w:val="it-IT"/>
        </w:rPr>
        <w:t>ăţă</w:t>
      </w:r>
      <w:r w:rsidRPr="001A74AE">
        <w:rPr>
          <w:sz w:val="22"/>
          <w:szCs w:val="22"/>
          <w:lang w:val="it-IT"/>
        </w:rPr>
        <w:t>m</w:t>
      </w:r>
      <w:r>
        <w:rPr>
          <w:sz w:val="22"/>
          <w:szCs w:val="22"/>
          <w:lang w:val="it-IT"/>
        </w:rPr>
        <w:t>â</w:t>
      </w:r>
      <w:r w:rsidRPr="001A74AE">
        <w:rPr>
          <w:sz w:val="22"/>
          <w:szCs w:val="22"/>
          <w:lang w:val="it-IT"/>
        </w:rPr>
        <w:t>ntul superior: interna</w:t>
      </w:r>
      <w:r>
        <w:rPr>
          <w:sz w:val="22"/>
          <w:szCs w:val="22"/>
          <w:lang w:val="it-IT"/>
        </w:rPr>
        <w:t>ţ</w:t>
      </w:r>
      <w:r w:rsidRPr="001A74AE">
        <w:rPr>
          <w:sz w:val="22"/>
          <w:szCs w:val="22"/>
          <w:lang w:val="it-IT"/>
        </w:rPr>
        <w:t xml:space="preserve">ionalizare </w:t>
      </w:r>
      <w:r>
        <w:rPr>
          <w:sz w:val="22"/>
          <w:szCs w:val="22"/>
          <w:lang w:val="it-IT"/>
        </w:rPr>
        <w:t>ş</w:t>
      </w:r>
      <w:r w:rsidRPr="001A74AE">
        <w:rPr>
          <w:sz w:val="22"/>
          <w:szCs w:val="22"/>
          <w:lang w:val="it-IT"/>
        </w:rPr>
        <w:t xml:space="preserve">i baze de date pentru dezvoltatea </w:t>
      </w:r>
      <w:r>
        <w:rPr>
          <w:sz w:val="22"/>
          <w:szCs w:val="22"/>
          <w:lang w:val="it-IT"/>
        </w:rPr>
        <w:t>î</w:t>
      </w:r>
      <w:r w:rsidRPr="001A74AE">
        <w:rPr>
          <w:sz w:val="22"/>
          <w:szCs w:val="22"/>
          <w:lang w:val="it-IT"/>
        </w:rPr>
        <w:t>nv</w:t>
      </w:r>
      <w:r>
        <w:rPr>
          <w:sz w:val="22"/>
          <w:szCs w:val="22"/>
          <w:lang w:val="it-IT"/>
        </w:rPr>
        <w:t>ăţă</w:t>
      </w:r>
      <w:r w:rsidRPr="001A74AE">
        <w:rPr>
          <w:sz w:val="22"/>
          <w:szCs w:val="22"/>
          <w:lang w:val="it-IT"/>
        </w:rPr>
        <w:t>m</w:t>
      </w:r>
      <w:r>
        <w:rPr>
          <w:sz w:val="22"/>
          <w:szCs w:val="22"/>
          <w:lang w:val="it-IT"/>
        </w:rPr>
        <w:t>â</w:t>
      </w:r>
      <w:r w:rsidRPr="001A74AE">
        <w:rPr>
          <w:sz w:val="22"/>
          <w:szCs w:val="22"/>
          <w:lang w:val="it-IT"/>
        </w:rPr>
        <w:t>ntului rom</w:t>
      </w:r>
      <w:r>
        <w:rPr>
          <w:sz w:val="22"/>
          <w:szCs w:val="22"/>
          <w:lang w:val="it-IT"/>
        </w:rPr>
        <w:t>â</w:t>
      </w:r>
      <w:r w:rsidRPr="001A74AE">
        <w:rPr>
          <w:sz w:val="22"/>
          <w:szCs w:val="22"/>
          <w:lang w:val="it-IT"/>
        </w:rPr>
        <w:t>nesc”</w:t>
      </w:r>
      <w:r w:rsidRPr="008221A9">
        <w:rPr>
          <w:rFonts w:eastAsia="Trebuchet MS"/>
          <w:sz w:val="22"/>
          <w:szCs w:val="22"/>
        </w:rPr>
        <w:t xml:space="preserve">, 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2019 </w:t>
      </w:r>
      <w:r>
        <w:rPr>
          <w:rFonts w:eastAsia="Trebuchet MS"/>
          <w:sz w:val="22"/>
          <w:szCs w:val="22"/>
        </w:rPr>
        <w:t>-</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bookmarkStart w:id="0" w:name="_GoBack"/>
      <w:bookmarkEnd w:id="0"/>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E78F8" w:rsidRPr="008221A9" w:rsidRDefault="00CE78F8" w:rsidP="00CE78F8">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Pr="008221A9">
        <w:rPr>
          <w:b/>
          <w:bCs/>
          <w:i/>
          <w:iCs/>
          <w:sz w:val="22"/>
          <w:szCs w:val="22"/>
        </w:rPr>
        <w:t xml:space="preserve">Orientărilor privind accesarea finanțărilor în cadrul Programului Operațional Capital Uman 2014-2020, </w:t>
      </w:r>
      <w:r w:rsidRPr="008221A9">
        <w:rPr>
          <w:bCs/>
          <w:iCs/>
          <w:sz w:val="22"/>
          <w:szCs w:val="22"/>
        </w:rPr>
        <w:t xml:space="preserve">conform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European–Programul Operațional Capital Uman cât și norma de bază, sau alte contracte de muncă în afara proiectelor, stabilite prin contractele de muncă încheiate. Tot ce depășește această limită nu se va deconta din POCU.</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21709D"/>
    <w:rsid w:val="008C6A5D"/>
    <w:rsid w:val="00A44192"/>
    <w:rsid w:val="00C80577"/>
    <w:rsid w:val="00CE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Rodica Bleaja</cp:lastModifiedBy>
  <cp:revision>3</cp:revision>
  <dcterms:created xsi:type="dcterms:W3CDTF">2019-03-27T10:24:00Z</dcterms:created>
  <dcterms:modified xsi:type="dcterms:W3CDTF">2019-03-27T10:25:00Z</dcterms:modified>
</cp:coreProperties>
</file>